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65" w:rsidRDefault="00905565" w:rsidP="00905565">
      <w:pPr>
        <w:rPr>
          <w:b/>
          <w:szCs w:val="24"/>
          <w:u w:val="single"/>
          <w:lang w:val="en-GB"/>
        </w:rPr>
      </w:pPr>
      <w:r w:rsidRPr="00FF1ACB">
        <w:rPr>
          <w:b/>
          <w:szCs w:val="24"/>
          <w:u w:val="single"/>
          <w:lang w:val="en-GB"/>
        </w:rPr>
        <w:t xml:space="preserve">Supplementary </w:t>
      </w:r>
      <w:r>
        <w:rPr>
          <w:b/>
          <w:szCs w:val="24"/>
          <w:u w:val="single"/>
          <w:lang w:val="en-GB"/>
        </w:rPr>
        <w:t>Information</w:t>
      </w:r>
    </w:p>
    <w:p w:rsidR="00905565" w:rsidRDefault="00905565" w:rsidP="00905565">
      <w:pPr>
        <w:rPr>
          <w:b/>
          <w:szCs w:val="24"/>
          <w:u w:val="single"/>
          <w:lang w:val="en-GB"/>
        </w:rPr>
      </w:pPr>
    </w:p>
    <w:p w:rsidR="00905565" w:rsidRPr="0085097F" w:rsidRDefault="00905565" w:rsidP="00905565">
      <w:pPr>
        <w:rPr>
          <w:b/>
        </w:rPr>
      </w:pPr>
      <w:r>
        <w:rPr>
          <w:b/>
          <w:u w:val="single"/>
        </w:rPr>
        <w:t>Table</w:t>
      </w:r>
      <w:r w:rsidRPr="0085097F">
        <w:rPr>
          <w:b/>
          <w:u w:val="single"/>
        </w:rPr>
        <w:t xml:space="preserve"> S</w:t>
      </w:r>
      <w:r>
        <w:rPr>
          <w:b/>
          <w:u w:val="single"/>
        </w:rPr>
        <w:t>1</w:t>
      </w:r>
      <w:r w:rsidRPr="0085097F">
        <w:rPr>
          <w:b/>
          <w:u w:val="single"/>
        </w:rPr>
        <w:t>:</w:t>
      </w:r>
      <w:r w:rsidRPr="0085097F">
        <w:rPr>
          <w:b/>
        </w:rPr>
        <w:t xml:space="preserve"> </w:t>
      </w:r>
    </w:p>
    <w:p w:rsidR="00905565" w:rsidRPr="0085097F" w:rsidRDefault="00905565" w:rsidP="00905565">
      <w:pPr>
        <w:rPr>
          <w:i/>
          <w:szCs w:val="24"/>
          <w:lang w:val="en-GB"/>
        </w:rPr>
      </w:pPr>
      <w:r w:rsidRPr="0085097F">
        <w:rPr>
          <w:i/>
          <w:szCs w:val="24"/>
          <w:lang w:val="en-GB"/>
        </w:rPr>
        <w:t xml:space="preserve">Influence of light pollution on the grooming and foraging </w:t>
      </w:r>
      <w:r>
        <w:rPr>
          <w:i/>
          <w:szCs w:val="24"/>
          <w:lang w:val="en-GB"/>
        </w:rPr>
        <w:t>durations</w:t>
      </w:r>
      <w:r w:rsidRPr="0085097F">
        <w:rPr>
          <w:i/>
          <w:szCs w:val="24"/>
          <w:lang w:val="en-GB"/>
        </w:rPr>
        <w:t xml:space="preserve"> in </w:t>
      </w:r>
      <w:r>
        <w:rPr>
          <w:i/>
          <w:szCs w:val="24"/>
          <w:lang w:val="en-GB"/>
        </w:rPr>
        <w:t>High-quality food</w:t>
      </w:r>
      <w:r w:rsidRPr="0085097F">
        <w:rPr>
          <w:i/>
          <w:szCs w:val="24"/>
          <w:lang w:val="en-GB"/>
        </w:rPr>
        <w:t xml:space="preserve"> condition. </w:t>
      </w:r>
    </w:p>
    <w:p w:rsidR="00905565" w:rsidRDefault="00905565" w:rsidP="00905565">
      <w:pPr>
        <w:rPr>
          <w:szCs w:val="24"/>
          <w:lang w:val="en-GB"/>
        </w:rPr>
      </w:pPr>
      <w:r w:rsidRPr="0085097F">
        <w:rPr>
          <w:szCs w:val="24"/>
          <w:lang w:val="en-GB"/>
        </w:rPr>
        <w:t xml:space="preserve">GLMM models selection table based on the </w:t>
      </w:r>
      <w:proofErr w:type="spellStart"/>
      <w:r w:rsidRPr="007B1636">
        <w:rPr>
          <w:rFonts w:eastAsia="MS Mincho"/>
          <w:szCs w:val="24"/>
          <w:lang w:val="en-GB"/>
        </w:rPr>
        <w:t>Akaike</w:t>
      </w:r>
      <w:proofErr w:type="spellEnd"/>
      <w:r w:rsidRPr="007B1636">
        <w:rPr>
          <w:rFonts w:eastAsia="MS Mincho"/>
          <w:szCs w:val="24"/>
          <w:lang w:val="en-GB"/>
        </w:rPr>
        <w:t xml:space="preserve"> Information Criterion (</w:t>
      </w:r>
      <w:proofErr w:type="spellStart"/>
      <w:r w:rsidRPr="007B1636">
        <w:rPr>
          <w:rFonts w:eastAsia="MS Mincho"/>
          <w:szCs w:val="24"/>
          <w:lang w:val="en-GB"/>
        </w:rPr>
        <w:t>AICc</w:t>
      </w:r>
      <w:proofErr w:type="spellEnd"/>
      <w:r w:rsidRPr="007B1636">
        <w:rPr>
          <w:rFonts w:eastAsia="MS Mincho"/>
          <w:szCs w:val="24"/>
          <w:lang w:val="en-GB"/>
        </w:rPr>
        <w:t>)</w:t>
      </w:r>
      <w:r w:rsidRPr="0085097F">
        <w:rPr>
          <w:szCs w:val="24"/>
          <w:lang w:val="en-GB"/>
        </w:rPr>
        <w:t xml:space="preserve">. Presence (+) or absence (-) for qualitative effects, </w:t>
      </w:r>
      <w:proofErr w:type="spellStart"/>
      <w:r w:rsidRPr="0085097F">
        <w:rPr>
          <w:szCs w:val="24"/>
          <w:lang w:val="en-GB"/>
        </w:rPr>
        <w:t>AICc</w:t>
      </w:r>
      <w:proofErr w:type="spellEnd"/>
      <w:r w:rsidRPr="0085097F">
        <w:rPr>
          <w:szCs w:val="24"/>
          <w:lang w:val="en-GB"/>
        </w:rPr>
        <w:t xml:space="preserve"> computations and relative variable importance (Weight) are indicated for each model. Best models are shown in bold. Best models’ parameter estimates are presented below the selection table.</w:t>
      </w:r>
    </w:p>
    <w:p w:rsidR="00905565" w:rsidRDefault="00905565" w:rsidP="00905565">
      <w:pPr>
        <w:rPr>
          <w:szCs w:val="24"/>
          <w:lang w:val="en-GB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741"/>
        <w:gridCol w:w="1501"/>
        <w:gridCol w:w="1502"/>
        <w:gridCol w:w="1504"/>
        <w:gridCol w:w="1504"/>
      </w:tblGrid>
      <w:tr w:rsidR="00905565" w:rsidRPr="007B1636" w:rsidTr="009E30F4"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  <w:i/>
                <w:iCs/>
                <w:u w:val="single"/>
              </w:rPr>
            </w:pPr>
            <w:r w:rsidRPr="007B1636">
              <w:rPr>
                <w:b/>
                <w:i/>
                <w:iCs/>
                <w:u w:val="single"/>
              </w:rPr>
              <w:t>Grooming duration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Light intensity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AICc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ΔAICc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Weight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</w:rPr>
            </w:pPr>
            <w:r w:rsidRPr="007B1636">
              <w:rPr>
                <w:b/>
              </w:rPr>
              <w:t>Model 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+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1053.2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0.000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0.780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1055.7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2.54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0.219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1069.5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16.4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1071.9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18.7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Parameter estimates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χ²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Df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  <w:i/>
                <w:iCs/>
              </w:rPr>
              <w:t>P</w:t>
            </w:r>
            <w:r w:rsidRPr="007B1636">
              <w:rPr>
                <w:bCs/>
              </w:rPr>
              <w:t>-value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Intercept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0.912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0.340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</w:rPr>
            </w:pPr>
            <w:r w:rsidRPr="007B1636">
              <w:rPr>
                <w:b/>
              </w:rPr>
              <w:t>Light intensity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18.6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&lt; 0.001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Sex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0.963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</w:tbl>
    <w:p w:rsidR="00905565" w:rsidRPr="00EB58B0" w:rsidRDefault="00905565" w:rsidP="00905565"/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741"/>
        <w:gridCol w:w="1501"/>
        <w:gridCol w:w="1502"/>
        <w:gridCol w:w="1504"/>
        <w:gridCol w:w="1504"/>
      </w:tblGrid>
      <w:tr w:rsidR="00905565" w:rsidRPr="007B1636" w:rsidTr="009E30F4"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  <w:i/>
                <w:iCs/>
              </w:rPr>
            </w:pPr>
            <w:r w:rsidRPr="007B1636">
              <w:rPr>
                <w:b/>
                <w:i/>
                <w:iCs/>
              </w:rPr>
              <w:t>Foraging duration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Light intensity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AICc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ΔAICc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Weight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</w:rPr>
            </w:pPr>
            <w:r w:rsidRPr="007B1636">
              <w:rPr>
                <w:b/>
              </w:rPr>
              <w:t>Model 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+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1041.6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0.000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0.781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1044.1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2.54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0.219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1065.3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23.7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1067.6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26.0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Parameter estimates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χ²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Df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  <w:i/>
                <w:iCs/>
              </w:rPr>
              <w:t>P</w:t>
            </w:r>
            <w:r w:rsidRPr="007B1636">
              <w:rPr>
                <w:bCs/>
              </w:rPr>
              <w:t>-value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Intercept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3.38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</w:rPr>
            </w:pPr>
            <w:r w:rsidRPr="007B1636">
              <w:rPr>
                <w:b/>
              </w:rPr>
              <w:t>Light intensity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25.6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&lt; 0.001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Sex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0.980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</w:tbl>
    <w:p w:rsidR="00905565" w:rsidRDefault="00905565" w:rsidP="00905565"/>
    <w:p w:rsidR="00905565" w:rsidRDefault="00905565" w:rsidP="00905565"/>
    <w:p w:rsidR="00905565" w:rsidRPr="008C154D" w:rsidRDefault="00905565" w:rsidP="00905565">
      <w:pPr>
        <w:spacing w:line="480" w:lineRule="auto"/>
        <w:rPr>
          <w:b/>
        </w:rPr>
      </w:pPr>
      <w:r>
        <w:rPr>
          <w:b/>
          <w:u w:val="single"/>
        </w:rPr>
        <w:t>Table</w:t>
      </w:r>
      <w:r w:rsidRPr="008C154D">
        <w:rPr>
          <w:b/>
          <w:u w:val="single"/>
        </w:rPr>
        <w:t xml:space="preserve"> S</w:t>
      </w:r>
      <w:r>
        <w:rPr>
          <w:b/>
          <w:u w:val="single"/>
        </w:rPr>
        <w:t>2</w:t>
      </w:r>
      <w:r w:rsidRPr="008C154D">
        <w:rPr>
          <w:b/>
          <w:u w:val="single"/>
        </w:rPr>
        <w:t>:</w:t>
      </w:r>
      <w:r w:rsidRPr="008C154D">
        <w:rPr>
          <w:b/>
        </w:rPr>
        <w:t xml:space="preserve"> </w:t>
      </w:r>
    </w:p>
    <w:p w:rsidR="00905565" w:rsidRDefault="00905565" w:rsidP="00905565">
      <w:pPr>
        <w:spacing w:line="480" w:lineRule="auto"/>
        <w:rPr>
          <w:szCs w:val="24"/>
          <w:lang w:val="en-GB"/>
        </w:rPr>
      </w:pPr>
      <w:r w:rsidRPr="00074AC1">
        <w:rPr>
          <w:i/>
          <w:iCs/>
          <w:szCs w:val="24"/>
          <w:lang w:val="en-GB"/>
        </w:rPr>
        <w:t xml:space="preserve">Influence of light pollution on the grooming and foraging durations in </w:t>
      </w:r>
      <w:r w:rsidRPr="00153887">
        <w:rPr>
          <w:i/>
          <w:iCs/>
          <w:szCs w:val="24"/>
          <w:lang w:val="en-GB"/>
        </w:rPr>
        <w:t>l</w:t>
      </w:r>
      <w:r w:rsidRPr="00074AC1">
        <w:rPr>
          <w:i/>
          <w:iCs/>
          <w:szCs w:val="24"/>
          <w:lang w:val="en-GB"/>
        </w:rPr>
        <w:t xml:space="preserve">ow-quality food </w:t>
      </w:r>
      <w:r w:rsidRPr="00153887">
        <w:rPr>
          <w:i/>
          <w:iCs/>
          <w:szCs w:val="24"/>
          <w:lang w:val="en-GB"/>
        </w:rPr>
        <w:t xml:space="preserve">(LQF) </w:t>
      </w:r>
      <w:r w:rsidRPr="00074AC1">
        <w:rPr>
          <w:i/>
          <w:iCs/>
          <w:szCs w:val="24"/>
          <w:lang w:val="en-GB"/>
        </w:rPr>
        <w:t>condition.</w:t>
      </w:r>
      <w:r w:rsidRPr="00153887">
        <w:rPr>
          <w:szCs w:val="24"/>
          <w:lang w:val="en-GB"/>
        </w:rPr>
        <w:t xml:space="preserve"> </w:t>
      </w:r>
    </w:p>
    <w:p w:rsidR="00905565" w:rsidRPr="00C1378A" w:rsidRDefault="00905565" w:rsidP="00905565">
      <w:pPr>
        <w:spacing w:line="480" w:lineRule="auto"/>
        <w:rPr>
          <w:i/>
          <w:szCs w:val="24"/>
          <w:lang w:val="en-GB"/>
        </w:rPr>
      </w:pPr>
      <w:r w:rsidRPr="008C154D">
        <w:rPr>
          <w:szCs w:val="24"/>
          <w:lang w:val="en-GB"/>
        </w:rPr>
        <w:t xml:space="preserve">GLMM models selection table based on the </w:t>
      </w:r>
      <w:proofErr w:type="spellStart"/>
      <w:r w:rsidRPr="007B1636">
        <w:rPr>
          <w:rFonts w:eastAsia="MS Mincho"/>
          <w:szCs w:val="24"/>
          <w:lang w:val="en-GB"/>
        </w:rPr>
        <w:t>Akaike</w:t>
      </w:r>
      <w:proofErr w:type="spellEnd"/>
      <w:r w:rsidRPr="007B1636">
        <w:rPr>
          <w:rFonts w:eastAsia="MS Mincho"/>
          <w:szCs w:val="24"/>
          <w:lang w:val="en-GB"/>
        </w:rPr>
        <w:t xml:space="preserve"> Information Criterion (</w:t>
      </w:r>
      <w:proofErr w:type="spellStart"/>
      <w:r w:rsidRPr="007B1636">
        <w:rPr>
          <w:rFonts w:eastAsia="MS Mincho"/>
          <w:szCs w:val="24"/>
          <w:lang w:val="en-GB"/>
        </w:rPr>
        <w:t>AICc</w:t>
      </w:r>
      <w:proofErr w:type="spellEnd"/>
      <w:r w:rsidRPr="007B1636">
        <w:rPr>
          <w:rFonts w:eastAsia="MS Mincho"/>
          <w:szCs w:val="24"/>
          <w:lang w:val="en-GB"/>
        </w:rPr>
        <w:t>)</w:t>
      </w:r>
      <w:r w:rsidRPr="008C154D">
        <w:rPr>
          <w:szCs w:val="24"/>
          <w:lang w:val="en-GB"/>
        </w:rPr>
        <w:t xml:space="preserve"> to determine the best models. Presence (+) or absence (-) for qualitative effects, </w:t>
      </w:r>
      <w:proofErr w:type="spellStart"/>
      <w:r w:rsidRPr="008C154D">
        <w:rPr>
          <w:szCs w:val="24"/>
          <w:lang w:val="en-GB"/>
        </w:rPr>
        <w:t>AICc</w:t>
      </w:r>
      <w:proofErr w:type="spellEnd"/>
      <w:r w:rsidRPr="008C154D">
        <w:rPr>
          <w:szCs w:val="24"/>
          <w:lang w:val="en-GB"/>
        </w:rPr>
        <w:t xml:space="preserve"> computations and relative variable importance (Weight) are indicated for each model. Best </w:t>
      </w:r>
      <w:r w:rsidRPr="008C154D">
        <w:rPr>
          <w:szCs w:val="24"/>
          <w:lang w:val="en-GB"/>
        </w:rPr>
        <w:lastRenderedPageBreak/>
        <w:t>models are shown in bold. Best models’ parameter estimates are presented below the selection table</w:t>
      </w:r>
      <w:r>
        <w:rPr>
          <w:szCs w:val="24"/>
          <w:lang w:val="en-GB"/>
        </w:rPr>
        <w:t>.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741"/>
        <w:gridCol w:w="1501"/>
        <w:gridCol w:w="1502"/>
        <w:gridCol w:w="1504"/>
        <w:gridCol w:w="1504"/>
      </w:tblGrid>
      <w:tr w:rsidR="00905565" w:rsidRPr="007B1636" w:rsidTr="009E30F4"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  <w:i/>
                <w:iCs/>
                <w:u w:val="single"/>
              </w:rPr>
            </w:pPr>
            <w:r w:rsidRPr="007B1636">
              <w:rPr>
                <w:b/>
                <w:i/>
                <w:iCs/>
                <w:u w:val="single"/>
              </w:rPr>
              <w:t>Grooming duration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Light intensity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AICc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ΔAICc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Weight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</w:rPr>
            </w:pPr>
            <w:r w:rsidRPr="007B1636">
              <w:rPr>
                <w:b/>
              </w:rPr>
              <w:t>Model 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+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1659.8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0.000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0.550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1660.2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0.450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1712.6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52.9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1712.8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53.0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Parameter estimates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χ²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Df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  <w:i/>
                <w:iCs/>
              </w:rPr>
              <w:t>P</w:t>
            </w:r>
            <w:r w:rsidRPr="007B1636">
              <w:rPr>
                <w:bCs/>
              </w:rPr>
              <w:t>-value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Intercept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0.248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0.618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</w:rPr>
            </w:pPr>
            <w:r w:rsidRPr="007B1636">
              <w:rPr>
                <w:b/>
              </w:rPr>
              <w:t>Light intensity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55.2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&lt; 0.001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Sex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2.27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</w:tbl>
    <w:p w:rsidR="00905565" w:rsidRPr="00EB58B0" w:rsidRDefault="00905565" w:rsidP="00905565">
      <w:pPr>
        <w:spacing w:line="480" w:lineRule="auto"/>
        <w:rPr>
          <w:lang w:val="en-GB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741"/>
        <w:gridCol w:w="1501"/>
        <w:gridCol w:w="1502"/>
        <w:gridCol w:w="1504"/>
        <w:gridCol w:w="1504"/>
      </w:tblGrid>
      <w:tr w:rsidR="00905565" w:rsidRPr="007B1636" w:rsidTr="009E30F4"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  <w:i/>
                <w:iCs/>
              </w:rPr>
            </w:pPr>
            <w:r w:rsidRPr="007B1636">
              <w:rPr>
                <w:b/>
                <w:i/>
                <w:iCs/>
              </w:rPr>
              <w:t>Foraging duration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Light intensity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AICc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ΔAICc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Weight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601.6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0.367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602.5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0.240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/>
              </w:rPr>
            </w:pPr>
            <w:r w:rsidRPr="007B1636">
              <w:rPr>
                <w:b/>
              </w:rPr>
              <w:t>Model 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602.5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0.880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/>
              </w:rPr>
            </w:pPr>
            <w:r w:rsidRPr="007B1636">
              <w:rPr>
                <w:b/>
              </w:rPr>
              <w:t>0.236</w:t>
            </w: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Model 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+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603.3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1.70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0.157</w:t>
            </w:r>
          </w:p>
        </w:tc>
      </w:tr>
      <w:tr w:rsidR="00905565" w:rsidRPr="007B1636" w:rsidTr="009E30F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Parameter estimates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χ²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proofErr w:type="spellStart"/>
            <w:r w:rsidRPr="007B1636">
              <w:rPr>
                <w:bCs/>
              </w:rPr>
              <w:t>Df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  <w:i/>
                <w:iCs/>
              </w:rPr>
              <w:t>P</w:t>
            </w:r>
            <w:r w:rsidRPr="007B1636">
              <w:rPr>
                <w:bCs/>
              </w:rPr>
              <w:t>-value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Intercept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1.69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0.194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Light intensity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3.40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0.065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  <w:tr w:rsidR="00905565" w:rsidRPr="007B1636" w:rsidTr="009E30F4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565" w:rsidRPr="007B1636" w:rsidRDefault="00905565" w:rsidP="009E30F4">
            <w:pPr>
              <w:rPr>
                <w:bCs/>
              </w:rPr>
            </w:pPr>
            <w:r w:rsidRPr="007B1636">
              <w:rPr>
                <w:bCs/>
              </w:rPr>
              <w:t>Sex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1.78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1, 33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  <w:r w:rsidRPr="007B1636">
              <w:rPr>
                <w:bCs/>
              </w:rPr>
              <w:t>0.182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65" w:rsidRPr="007B1636" w:rsidRDefault="00905565" w:rsidP="009E30F4">
            <w:pPr>
              <w:jc w:val="center"/>
              <w:rPr>
                <w:bCs/>
              </w:rPr>
            </w:pPr>
          </w:p>
        </w:tc>
      </w:tr>
    </w:tbl>
    <w:p w:rsidR="000F6BD3" w:rsidRDefault="0038783F">
      <w:bookmarkStart w:id="0" w:name="_GoBack"/>
      <w:bookmarkEnd w:id="0"/>
    </w:p>
    <w:sectPr w:rsidR="000F6BD3" w:rsidSect="00246D5A">
      <w:pgSz w:w="11906" w:h="16838"/>
      <w:pgMar w:top="1417" w:right="1417" w:bottom="1417" w:left="1417" w:header="708" w:footer="708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65"/>
    <w:rsid w:val="0038783F"/>
    <w:rsid w:val="00502017"/>
    <w:rsid w:val="00905565"/>
    <w:rsid w:val="00C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65"/>
    <w:pPr>
      <w:spacing w:after="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5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65"/>
    <w:pPr>
      <w:spacing w:after="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2019-07-23T13:45:00Z</dcterms:created>
  <dcterms:modified xsi:type="dcterms:W3CDTF">2019-07-23T13:46:00Z</dcterms:modified>
</cp:coreProperties>
</file>